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F6" w:rsidRPr="00585EF6" w:rsidRDefault="00585EF6" w:rsidP="00585EF6">
      <w:pPr>
        <w:pStyle w:val="Balk2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Bu talimat, Bursa Uludağ Üniversitesi yerleşkelerinde kullanılan benzinli çim biçme makinelerinin güvenli ve sağlıklı bir şekilde kullanılmasını sağlamak amacıyla hazırlanmıştır.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 xml:space="preserve"> </w:t>
      </w: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Bu talimata uyulmasından Bursa Uludağ Üniversitesi yerleşkelerinde çim biçme faaliyetlerinde görevli tüm personel ve amirleri sorumludur.</w:t>
      </w:r>
    </w:p>
    <w:p w:rsidR="00585EF6" w:rsidRPr="00585EF6" w:rsidRDefault="00585EF6" w:rsidP="00585EF6">
      <w:pPr>
        <w:pStyle w:val="Balk2"/>
        <w:spacing w:after="240" w:line="240" w:lineRule="auto"/>
        <w:rPr>
          <w:rFonts w:ascii="Times New Roman" w:eastAsia="Calibri" w:hAnsi="Times New Roman" w:cs="Times New Roman"/>
          <w:bCs w:val="0"/>
          <w:color w:val="auto"/>
          <w:sz w:val="22"/>
          <w:szCs w:val="22"/>
          <w:lang w:val="tr-TR"/>
        </w:rPr>
      </w:pPr>
      <w:r>
        <w:rPr>
          <w:rFonts w:ascii="Times New Roman" w:eastAsia="Calibri" w:hAnsi="Times New Roman" w:cs="Times New Roman"/>
          <w:bCs w:val="0"/>
          <w:color w:val="auto"/>
          <w:sz w:val="22"/>
          <w:szCs w:val="22"/>
          <w:lang w:val="tr-TR"/>
        </w:rPr>
        <w:t xml:space="preserve">GÜVENLİ </w:t>
      </w:r>
      <w:r w:rsidRPr="00585EF6">
        <w:rPr>
          <w:rFonts w:ascii="Times New Roman" w:eastAsia="Calibri" w:hAnsi="Times New Roman" w:cs="Times New Roman"/>
          <w:bCs w:val="0"/>
          <w:color w:val="auto"/>
          <w:sz w:val="22"/>
          <w:szCs w:val="22"/>
          <w:lang w:val="tr-TR"/>
        </w:rPr>
        <w:t>KULLANIM KURALLARI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Makine yalnızca yetkilendirilmiş ve kullanımı konusunda eğitim almış personel tarafından kullanılır.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Çalışmaya başlamadan önce makinenin genel durumu, bıçakları, muhafazaları, tekerlekleri ve kumanda kolları kontrol edilir.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Yakıt ve motor yağı seviyeleri çalışma öncesinde kontrol edilir.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Çalışma alanındaki taş, cam, tel, metal parçaları, dal ve benzeri yabancı cisimler temizlenir.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Çalışma sırasında uygun iş ayakkabısı, iş eldiveni, göz koruyucu ve işitme koruyucu kullanılır.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Makine düz ve sağlam zeminde çalıştırılır.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Yakıt dolumu yalnızca motor durdurulduktan ve soğuduktan sonra yapılır.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Yakıt dolumu sırasında sigara içilmez, açık alev ve kıvılcım kaynaklarından uzak durulur.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Yakıt dökülmesi halinde alan temizlenmeden ve yakıt buharı dağılmadan makine çalıştırılmaz.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Yakıt deposu kapağının güvenli şekilde kapatıldığı kontrol edilir.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Bıçak muhafazası ve çim toplama sepeti takılı olmadan makine kullanılmaz.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Makine çalışırken el, ayak ve diğer vücut uzuvları döner bıçaklardan uzak tutulur.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Makine çalışırken koruyucu muhafazalar çıkarılmaz veya etkisiz hale getirilmez.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Başkalarının çalışma alanına yaklaşmasına izin verilmez.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Islak çimde, aşırı eğimli alanlarda veya yağışlı havalarda çalışma yapılmaz.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Eğimli arazilerde dikkatli çalışılır, ani dönüş ve manevralardan kaçınılır.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Olağan dışı ses, titreşim, duman veya performans düşüklüğü fark edilmesi halinde makine derhal durdurulur.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Çim toplama sepetinin boşaltılması, bakım veya temizlik işlemleri öncesinde motor durdurulur ve buji kablosu çıkarılır.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Makinenin sıcak motor ve egzoz bölümlerine çıplak elle temas edilmez.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Makine çalışırken gözetimsiz bırakılmaz.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Gün sonunda makine kapatılır, temizlenir ve güvenli şekilde muhafaza edilir.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Arızalı olduğu düşünülen makine kullanılmaz.</w:t>
      </w:r>
    </w:p>
    <w:p w:rsidR="00585EF6" w:rsidRP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 xml:space="preserve">Bakım ve onarım işlemleri yalnızca yetkili teknik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>kişilerce</w:t>
      </w: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 xml:space="preserve"> yapılır.</w:t>
      </w:r>
    </w:p>
    <w:p w:rsidR="00585EF6" w:rsidRDefault="00585EF6" w:rsidP="00585EF6">
      <w:pPr>
        <w:pStyle w:val="Balk2"/>
        <w:numPr>
          <w:ilvl w:val="0"/>
          <w:numId w:val="4"/>
        </w:numPr>
        <w:spacing w:before="0" w:line="240" w:lineRule="auto"/>
        <w:ind w:left="426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  <w:r w:rsidRPr="00585EF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  <w:t xml:space="preserve">Acil durum halinde acil durum iletişim bilgilerinde yer alan birimlere bilgi verilir. </w:t>
      </w:r>
    </w:p>
    <w:p w:rsidR="00585EF6" w:rsidRDefault="00585EF6" w:rsidP="00585EF6">
      <w:pPr>
        <w:pStyle w:val="Balk2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tr-TR"/>
        </w:rPr>
      </w:pPr>
    </w:p>
    <w:p w:rsidR="00585EF6" w:rsidRDefault="00585EF6" w:rsidP="00585EF6">
      <w:pPr>
        <w:pStyle w:val="Balk2"/>
        <w:spacing w:before="0"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2A6594" w:rsidRDefault="00A87846" w:rsidP="00585EF6">
      <w:pPr>
        <w:pStyle w:val="Balk2"/>
        <w:spacing w:before="0" w:line="240" w:lineRule="auto"/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  <w:bookmarkStart w:id="0" w:name="_GoBack"/>
      <w:bookmarkEnd w:id="0"/>
    </w:p>
    <w:p w:rsidR="002A6594" w:rsidRPr="00585EF6" w:rsidRDefault="00A87846" w:rsidP="00585EF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585EF6">
        <w:rPr>
          <w:rFonts w:ascii="Times New Roman" w:hAnsi="Times New Roman"/>
          <w:sz w:val="24"/>
          <w:szCs w:val="28"/>
        </w:rPr>
        <w:t>BUÜ İtfaiye</w:t>
      </w:r>
      <w:r w:rsidRPr="00585EF6">
        <w:rPr>
          <w:rFonts w:ascii="Times New Roman" w:hAnsi="Times New Roman"/>
          <w:sz w:val="24"/>
          <w:szCs w:val="28"/>
        </w:rPr>
        <w:tab/>
      </w:r>
      <w:r w:rsidRPr="00585EF6">
        <w:rPr>
          <w:rFonts w:ascii="Times New Roman" w:hAnsi="Times New Roman"/>
          <w:sz w:val="24"/>
          <w:szCs w:val="28"/>
        </w:rPr>
        <w:tab/>
        <w:t>: 40444</w:t>
      </w:r>
    </w:p>
    <w:p w:rsidR="002A6594" w:rsidRPr="00585EF6" w:rsidRDefault="00A87846" w:rsidP="00585EF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585EF6">
        <w:rPr>
          <w:rFonts w:ascii="Times New Roman" w:hAnsi="Times New Roman"/>
          <w:sz w:val="24"/>
          <w:szCs w:val="28"/>
        </w:rPr>
        <w:t>BUÜ Güvenlik</w:t>
      </w:r>
      <w:r w:rsidRPr="00585EF6">
        <w:rPr>
          <w:rFonts w:ascii="Times New Roman" w:hAnsi="Times New Roman"/>
          <w:sz w:val="24"/>
          <w:szCs w:val="28"/>
        </w:rPr>
        <w:tab/>
        <w:t>: 40550</w:t>
      </w:r>
    </w:p>
    <w:p w:rsidR="002A6594" w:rsidRPr="00585EF6" w:rsidRDefault="00A87846" w:rsidP="00585EF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585EF6">
        <w:rPr>
          <w:rFonts w:ascii="Times New Roman" w:hAnsi="Times New Roman"/>
          <w:sz w:val="24"/>
          <w:szCs w:val="28"/>
        </w:rPr>
        <w:t>Acil Çağrı</w:t>
      </w:r>
      <w:r w:rsidRPr="00585EF6">
        <w:rPr>
          <w:rFonts w:ascii="Times New Roman" w:hAnsi="Times New Roman"/>
          <w:sz w:val="24"/>
          <w:szCs w:val="28"/>
        </w:rPr>
        <w:tab/>
      </w:r>
      <w:r w:rsidRPr="00585EF6">
        <w:rPr>
          <w:rFonts w:ascii="Times New Roman" w:hAnsi="Times New Roman"/>
          <w:sz w:val="24"/>
          <w:szCs w:val="28"/>
        </w:rPr>
        <w:tab/>
        <w:t>: 112</w:t>
      </w:r>
    </w:p>
    <w:p w:rsidR="002A6594" w:rsidRPr="00585EF6" w:rsidRDefault="00A87846" w:rsidP="00585EF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585EF6">
        <w:rPr>
          <w:rFonts w:ascii="Times New Roman" w:hAnsi="Times New Roman"/>
          <w:sz w:val="24"/>
          <w:szCs w:val="28"/>
        </w:rPr>
        <w:t>Doğalgaz Acil</w:t>
      </w:r>
      <w:r w:rsidRPr="00585EF6">
        <w:rPr>
          <w:rFonts w:ascii="Times New Roman" w:hAnsi="Times New Roman"/>
          <w:sz w:val="24"/>
          <w:szCs w:val="28"/>
        </w:rPr>
        <w:tab/>
      </w:r>
      <w:r w:rsidRPr="00585EF6">
        <w:rPr>
          <w:rFonts w:ascii="Times New Roman" w:hAnsi="Times New Roman"/>
          <w:sz w:val="24"/>
          <w:szCs w:val="28"/>
        </w:rPr>
        <w:tab/>
        <w:t>: 187</w:t>
      </w:r>
    </w:p>
    <w:p w:rsidR="002A6594" w:rsidRPr="00585EF6" w:rsidRDefault="00A87846" w:rsidP="00585EF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585EF6">
        <w:rPr>
          <w:rFonts w:ascii="Times New Roman" w:hAnsi="Times New Roman"/>
          <w:sz w:val="24"/>
          <w:szCs w:val="28"/>
        </w:rPr>
        <w:t>Polis</w:t>
      </w:r>
      <w:r w:rsidRPr="00585EF6">
        <w:rPr>
          <w:rFonts w:ascii="Times New Roman" w:hAnsi="Times New Roman"/>
          <w:sz w:val="24"/>
          <w:szCs w:val="28"/>
        </w:rPr>
        <w:tab/>
      </w:r>
      <w:r w:rsidRPr="00585EF6">
        <w:rPr>
          <w:rFonts w:ascii="Times New Roman" w:hAnsi="Times New Roman"/>
          <w:sz w:val="24"/>
          <w:szCs w:val="28"/>
        </w:rPr>
        <w:tab/>
      </w:r>
      <w:r w:rsidRPr="00585EF6">
        <w:rPr>
          <w:rFonts w:ascii="Times New Roman" w:hAnsi="Times New Roman"/>
          <w:sz w:val="24"/>
          <w:szCs w:val="28"/>
        </w:rPr>
        <w:tab/>
        <w:t>: 112</w:t>
      </w:r>
    </w:p>
    <w:p w:rsidR="002A6594" w:rsidRDefault="002A6594" w:rsidP="00585E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2A6594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D1" w:rsidRDefault="008537D1">
      <w:pPr>
        <w:spacing w:line="240" w:lineRule="auto"/>
      </w:pPr>
      <w:r>
        <w:separator/>
      </w:r>
    </w:p>
  </w:endnote>
  <w:endnote w:type="continuationSeparator" w:id="0">
    <w:p w:rsidR="008537D1" w:rsidRDefault="00853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2A6594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2A6594" w:rsidRDefault="00A878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685DBF">
            <w:rPr>
              <w:rFonts w:ascii="Times New Roman" w:hAnsi="Times New Roman"/>
              <w:sz w:val="18"/>
              <w:szCs w:val="16"/>
              <w:lang w:eastAsia="en-GB"/>
            </w:rPr>
            <w:t>24.06.2026</w:t>
          </w:r>
        </w:p>
        <w:p w:rsidR="002A6594" w:rsidRDefault="00A878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2A6594" w:rsidRDefault="00A8784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2A6594" w:rsidRDefault="00A8784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85DBF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85DBF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2A6594" w:rsidRDefault="002A65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D1" w:rsidRDefault="008537D1">
      <w:pPr>
        <w:spacing w:after="0"/>
      </w:pPr>
      <w:r>
        <w:separator/>
      </w:r>
    </w:p>
  </w:footnote>
  <w:footnote w:type="continuationSeparator" w:id="0">
    <w:p w:rsidR="008537D1" w:rsidRDefault="008537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2A6594">
      <w:trPr>
        <w:trHeight w:val="841"/>
      </w:trPr>
      <w:tc>
        <w:tcPr>
          <w:tcW w:w="486" w:type="pct"/>
          <w:vAlign w:val="center"/>
        </w:tcPr>
        <w:p w:rsidR="002A6594" w:rsidRDefault="00A8784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2A6594" w:rsidRDefault="00A8784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2A6594" w:rsidRDefault="00A87846" w:rsidP="00585EF6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BENZİNLİ ÇİM BİÇME MAKİNESİ KULLANMA TALİMATI</w:t>
          </w:r>
        </w:p>
      </w:tc>
      <w:tc>
        <w:tcPr>
          <w:tcW w:w="688" w:type="pct"/>
          <w:vAlign w:val="center"/>
        </w:tcPr>
        <w:p w:rsidR="002A6594" w:rsidRDefault="00A8784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685DBF">
            <w:rPr>
              <w:rFonts w:ascii="Times New Roman" w:hAnsi="Times New Roman"/>
              <w:b/>
              <w:szCs w:val="20"/>
            </w:rPr>
            <w:t>49</w:t>
          </w:r>
        </w:p>
      </w:tc>
    </w:tr>
  </w:tbl>
  <w:p w:rsidR="002A6594" w:rsidRDefault="002A65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85943"/>
    <w:multiLevelType w:val="hybridMultilevel"/>
    <w:tmpl w:val="76D4FF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43D4"/>
    <w:multiLevelType w:val="singleLevel"/>
    <w:tmpl w:val="085743D4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55EAA"/>
    <w:multiLevelType w:val="hybridMultilevel"/>
    <w:tmpl w:val="CFCA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A6594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020A3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02A0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85EF6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5DBF"/>
    <w:rsid w:val="00686941"/>
    <w:rsid w:val="00687E0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1660C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537D1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D652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87846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037D2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2A73"/>
    <w:rsid w:val="00D735D6"/>
    <w:rsid w:val="00D753F8"/>
    <w:rsid w:val="00D75CC3"/>
    <w:rsid w:val="00D776B1"/>
    <w:rsid w:val="00D77F23"/>
    <w:rsid w:val="00D83DD5"/>
    <w:rsid w:val="00D8411E"/>
    <w:rsid w:val="00D8600F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D286B79"/>
    <w:rsid w:val="125A2953"/>
    <w:rsid w:val="21312487"/>
    <w:rsid w:val="254B5EE8"/>
    <w:rsid w:val="3C5122F3"/>
    <w:rsid w:val="47C41A1E"/>
    <w:rsid w:val="4B120D37"/>
    <w:rsid w:val="7A8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7374"/>
  <w15:docId w15:val="{DB1EA3B0-C505-467C-AD51-15200634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2F7B-A743-4962-9EE9-ACECE6E6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2026-06-24T12:48:00Z</dcterms:created>
  <dcterms:modified xsi:type="dcterms:W3CDTF">2026-06-24T12:48:00Z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D73B529AB37D4DF2AC276D28866C29FB_13</vt:lpwstr>
  </property>
</Properties>
</file>